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sz w:val="42"/>
          <w:szCs w:val="42"/>
        </w:rPr>
      </w:pPr>
      <w:r>
        <w:rPr>
          <w:sz w:val="42"/>
          <w:szCs w:val="42"/>
          <w:rtl w:val="0"/>
        </w:rPr>
        <w:t>Program stypendialny imienia Klausa Toepfera</w:t>
      </w:r>
    </w:p>
    <w:p>
      <w:pPr>
        <w:pStyle w:val="Body"/>
        <w:jc w:val="both"/>
        <w:rPr>
          <w:sz w:val="42"/>
          <w:szCs w:val="42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Program stypendialny imienia Klausa Toepfera jest propozycj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dla 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odych os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dopiero zaczynaj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swoj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karier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profesjonaln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w dziedzinie prac na rzecz ochrony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rodowiska (w organizacjach poza- i 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dowych, akademickich i tym podobnych), na terenie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rodkowej i Wschodniej Europy, Kaukazu oraz Azji Centralnej. Wymagane jest conajmniej trzy letnie do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wiadczenie i osoby,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nie przekroczy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jeszcze trzydziestego sz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stego roku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ycia (preferencyjnie). Program jest przeznaczony dla wschodz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lider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w zakresie ochrony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rodowiska, maj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wsparcie swoich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asnych organizacji matczynych,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tych,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rzy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wiadomie i w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 oddaj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rozwijaniu kariery we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asnym kraju oraz regionie.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Organizatorzy szukaj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uczestnik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 silnymi cechami dobrego lidera,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 jest gotowy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rol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przewodnicz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ej sprawie ochrony przyrody na terenie swojej ojczyzny. W celu wzmocnienia instytucji ochrony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rodowiska, kandydaci musz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gotowi na dzielenie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zebran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dot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 wiedz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Przy rozwa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aniu wzi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udzia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w programie nale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mie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na uwadze,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stypendium nie skupia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na metodach badawczych czy edukacji na tematy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rodowiskowe. Potencja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 w rozszerzaniu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uczestnika na temat strategii ochronnych i ich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nym zrozumieniu oraz poj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ciu zar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wno globalnej, jak i lokalnej polityki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rodowiskowej. 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Wymagane dokumenty do aplikacji to: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wype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niony formularz aplikacyjny;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dyplom uko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czenia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szej;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dyplom potwierdzaj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bieg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(nieobowi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zkowy);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znajomo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zyka angielskiego jest warunkiem koniecznym do spe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niania w ramach uczestnictwa w programie Klausa Toepfera.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kandydat nie posiada certyfikatu z 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zyka angielskiego, umiej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tno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ta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zosta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zweryfikowana poprzez wywiad telefoniczny i/lub egzamin internetowy; 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Curriculum Vitae;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wniosek zg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oszeniowy od pracodawcy;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list polecaj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instytucji zatrudniaj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oraz jednej wybranej osoby;</w:t>
      </w:r>
    </w:p>
    <w:p>
      <w:pPr>
        <w:pStyle w:val="Bod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kopia paszportu.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Wszystkie dokumenty musz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zosta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podpisane imieniem i nazwiskiem kandydata (n.p. aplikacja_imi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_nazwisko.doc) i wys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ane w formacie word lub pdf na adres e-mail ktf@bfn.de.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Ten osiemnastomiesi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czny program sk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dwunastu dni treningowych - odbywaj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 wyspie Vilm (Niemcy) -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dodatkowych zada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re zakwalifikowani uczestnicy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zani wykona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jako praca domowa w swoich krajach ojczystych w czasie przerw pomi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modu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ami. Data rozpocz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nowego cyklu oraz startu aplikacji zostan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wkr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tce og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oszone na stronie internetowej.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Program stypendialny imienia Klausa Toepfera to projekt pozaprogramowy. Tym samym, uczestnicy musz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obecni tylko na 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wiczeniach na terenie Niemiec podczas czterech dwunastodniowych modu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w. Pomi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obozami oczekuje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 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programu powrotu do 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asnych miejsc zamieszkania i pracy, gdzie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wykonywali dodatkowe zadania tj. dawanie korepetycje internetowe czy opracowanie studium przypadku.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Uczestnictwo w programie stypendialnym imienia Klausa Toepfera jest bezp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atne. Uczestnicy maj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zagwarantowane 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ywienie i zakwaterowanie w czasie modu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w,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koszty ich podr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y zostan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ciowo pokryte. Ubezpieczenie zdrowotne podczas pobytu w Niemczech oraz koszty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 z aplikacj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 wiz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czone w rozliczenie. Niemniej jednak, 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onkowie musz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sami do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koszt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podr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y. Podzia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pokrycia owych wydatk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w zostanie rozliczony zgodnie ze schematem, kt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ry jest oparty na wysoko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PKB kraju pochodzenia danego uczestnika.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szczeg</w:t>
      </w:r>
      <w:r>
        <w:rPr>
          <w:sz w:val="24"/>
          <w:szCs w:val="24"/>
          <w:rtl w:val="0"/>
        </w:rPr>
        <w:t>ółó</w:t>
      </w:r>
      <w:r>
        <w:rPr>
          <w:sz w:val="24"/>
          <w:szCs w:val="24"/>
          <w:rtl w:val="0"/>
        </w:rPr>
        <w:t xml:space="preserve">w na 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https://www.bfn.de/application</w:t>
      </w:r>
    </w:p>
    <w:p>
      <w:pPr>
        <w:pStyle w:val="Body"/>
        <w:jc w:val="both"/>
        <w:rPr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Body"/>
        <w:jc w:val="both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</w:rPr>
        <w:t>Og</w:t>
      </w:r>
      <w:r>
        <w:rPr>
          <w:rFonts w:ascii="Calibri" w:hAnsi="Calibri" w:hint="default"/>
          <w:sz w:val="26"/>
          <w:szCs w:val="26"/>
          <w:rtl w:val="0"/>
        </w:rPr>
        <w:t>ł</w:t>
      </w:r>
      <w:r>
        <w:rPr>
          <w:rFonts w:ascii="Calibri" w:hAnsi="Calibri"/>
          <w:sz w:val="26"/>
          <w:szCs w:val="26"/>
          <w:rtl w:val="0"/>
        </w:rPr>
        <w:t>oszenie przet</w:t>
      </w:r>
      <w:r>
        <w:rPr>
          <w:rFonts w:ascii="Calibri" w:hAnsi="Calibri" w:hint="default"/>
          <w:sz w:val="26"/>
          <w:szCs w:val="26"/>
          <w:rtl w:val="0"/>
        </w:rPr>
        <w:t>ł</w:t>
      </w:r>
      <w:r>
        <w:rPr>
          <w:rFonts w:ascii="Calibri" w:hAnsi="Calibri"/>
          <w:sz w:val="26"/>
          <w:szCs w:val="26"/>
          <w:rtl w:val="0"/>
        </w:rPr>
        <w:t>umaczy</w:t>
      </w:r>
      <w:r>
        <w:rPr>
          <w:rFonts w:ascii="Calibri" w:hAnsi="Calibri" w:hint="default"/>
          <w:sz w:val="26"/>
          <w:szCs w:val="26"/>
          <w:rtl w:val="0"/>
        </w:rPr>
        <w:t>ł</w:t>
      </w:r>
      <w:r>
        <w:rPr>
          <w:rFonts w:ascii="Calibri" w:hAnsi="Calibri"/>
          <w:sz w:val="26"/>
          <w:szCs w:val="26"/>
          <w:rtl w:val="0"/>
        </w:rPr>
        <w:t>a: Z.G.</w:t>
      </w:r>
    </w:p>
    <w:p>
      <w:pPr>
        <w:pStyle w:val="Body"/>
      </w:pPr>
      <w:r>
        <w:rPr>
          <w:sz w:val="26"/>
          <w:szCs w:val="26"/>
          <w:u w:val="singl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